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72" w:rsidRPr="0089642A" w:rsidRDefault="00F10A72" w:rsidP="00F10A72">
      <w:pPr>
        <w:jc w:val="center"/>
        <w:rPr>
          <w:rFonts w:ascii="Verdana" w:hAnsi="Verdana"/>
          <w:b/>
        </w:rPr>
      </w:pPr>
      <w:r w:rsidRPr="0089642A">
        <w:rPr>
          <w:rFonts w:ascii="Verdana" w:hAnsi="Verdana"/>
          <w:b/>
        </w:rPr>
        <w:t>PROTECTION AND PERM</w:t>
      </w:r>
      <w:r>
        <w:rPr>
          <w:rFonts w:ascii="Verdana" w:hAnsi="Verdana"/>
          <w:b/>
        </w:rPr>
        <w:t>ANENCY TRANSMITTAL LETTER, 12-</w:t>
      </w:r>
      <w:r w:rsidR="00E77117">
        <w:rPr>
          <w:rFonts w:ascii="Verdana" w:hAnsi="Verdana"/>
          <w:b/>
        </w:rPr>
        <w:t>09</w:t>
      </w:r>
      <w:bookmarkStart w:id="0" w:name="_GoBack"/>
      <w:bookmarkEnd w:id="0"/>
    </w:p>
    <w:p w:rsidR="00F10A72" w:rsidRDefault="00F10A72" w:rsidP="00F10A72">
      <w:pPr>
        <w:rPr>
          <w:rFonts w:ascii="Verdana" w:hAnsi="Verdana"/>
          <w:szCs w:val="22"/>
        </w:rPr>
      </w:pPr>
    </w:p>
    <w:p w:rsidR="00F10A72" w:rsidRDefault="00F10A72" w:rsidP="00F10A72">
      <w:pPr>
        <w:rPr>
          <w:rFonts w:ascii="Verdana" w:hAnsi="Verdana"/>
          <w:szCs w:val="22"/>
        </w:rPr>
      </w:pPr>
      <w:r w:rsidRPr="0089642A">
        <w:rPr>
          <w:rFonts w:ascii="Verdana" w:hAnsi="Verdana"/>
          <w:b/>
          <w:szCs w:val="22"/>
        </w:rPr>
        <w:t xml:space="preserve">TO: </w:t>
      </w:r>
      <w:r>
        <w:rPr>
          <w:rFonts w:ascii="Verdana" w:hAnsi="Verdana"/>
          <w:b/>
          <w:szCs w:val="22"/>
        </w:rPr>
        <w:tab/>
      </w:r>
      <w:r>
        <w:rPr>
          <w:rFonts w:ascii="Verdana" w:hAnsi="Verdana"/>
          <w:b/>
          <w:szCs w:val="22"/>
        </w:rPr>
        <w:tab/>
      </w:r>
      <w:r>
        <w:rPr>
          <w:rFonts w:ascii="Verdana" w:hAnsi="Verdana"/>
          <w:szCs w:val="22"/>
        </w:rPr>
        <w:t>Service Region Administrators</w:t>
      </w:r>
    </w:p>
    <w:p w:rsidR="00F10A72" w:rsidRDefault="00F10A72" w:rsidP="00F10A72">
      <w:pPr>
        <w:rPr>
          <w:rFonts w:ascii="Verdana" w:hAnsi="Verdana"/>
          <w:szCs w:val="22"/>
        </w:rPr>
      </w:pPr>
      <w:r>
        <w:rPr>
          <w:rFonts w:ascii="Verdana" w:hAnsi="Verdana"/>
          <w:szCs w:val="22"/>
        </w:rPr>
        <w:tab/>
      </w:r>
      <w:r>
        <w:rPr>
          <w:rFonts w:ascii="Verdana" w:hAnsi="Verdana"/>
          <w:szCs w:val="22"/>
        </w:rPr>
        <w:tab/>
        <w:t>Service Region Administrator Associates</w:t>
      </w:r>
    </w:p>
    <w:p w:rsidR="00F10A72" w:rsidRDefault="00F10A72" w:rsidP="00F10A72">
      <w:pPr>
        <w:rPr>
          <w:rFonts w:ascii="Verdana" w:hAnsi="Verdana"/>
          <w:szCs w:val="22"/>
        </w:rPr>
      </w:pPr>
      <w:r>
        <w:rPr>
          <w:rFonts w:ascii="Verdana" w:hAnsi="Verdana"/>
          <w:szCs w:val="22"/>
        </w:rPr>
        <w:tab/>
      </w:r>
      <w:r>
        <w:rPr>
          <w:rFonts w:ascii="Verdana" w:hAnsi="Verdana"/>
          <w:szCs w:val="22"/>
        </w:rPr>
        <w:tab/>
        <w:t>Service Region Clinical Associates</w:t>
      </w:r>
    </w:p>
    <w:p w:rsidR="00F10A72" w:rsidRDefault="00F10A72" w:rsidP="00F10A72">
      <w:pPr>
        <w:rPr>
          <w:rFonts w:ascii="Verdana" w:hAnsi="Verdana"/>
          <w:szCs w:val="22"/>
        </w:rPr>
      </w:pPr>
      <w:r>
        <w:rPr>
          <w:rFonts w:ascii="Verdana" w:hAnsi="Verdana"/>
          <w:szCs w:val="22"/>
        </w:rPr>
        <w:tab/>
      </w:r>
      <w:r>
        <w:rPr>
          <w:rFonts w:ascii="Verdana" w:hAnsi="Verdana"/>
          <w:szCs w:val="22"/>
        </w:rPr>
        <w:tab/>
        <w:t>Regional Program Specialists</w:t>
      </w:r>
    </w:p>
    <w:p w:rsidR="00F10A72" w:rsidRDefault="00F10A72" w:rsidP="00F10A72">
      <w:pPr>
        <w:rPr>
          <w:rFonts w:ascii="Verdana" w:hAnsi="Verdana"/>
          <w:szCs w:val="22"/>
        </w:rPr>
      </w:pPr>
      <w:r>
        <w:rPr>
          <w:rFonts w:ascii="Verdana" w:hAnsi="Verdana"/>
          <w:szCs w:val="22"/>
        </w:rPr>
        <w:tab/>
      </w:r>
      <w:r>
        <w:rPr>
          <w:rFonts w:ascii="Verdana" w:hAnsi="Verdana"/>
          <w:szCs w:val="22"/>
        </w:rPr>
        <w:tab/>
        <w:t>Family Services Office Supervisors</w:t>
      </w:r>
    </w:p>
    <w:p w:rsidR="00F10A72" w:rsidRDefault="00F10A72" w:rsidP="00F10A72">
      <w:pPr>
        <w:rPr>
          <w:rFonts w:ascii="Verdana" w:hAnsi="Verdana"/>
          <w:szCs w:val="22"/>
        </w:rPr>
      </w:pPr>
    </w:p>
    <w:p w:rsidR="00F10A72" w:rsidRDefault="00F10A72" w:rsidP="00F10A72">
      <w:pPr>
        <w:rPr>
          <w:rFonts w:ascii="Verdana" w:hAnsi="Verdana"/>
          <w:szCs w:val="22"/>
        </w:rPr>
      </w:pPr>
      <w:r>
        <w:rPr>
          <w:rFonts w:ascii="Verdana" w:hAnsi="Verdana"/>
          <w:b/>
          <w:szCs w:val="22"/>
        </w:rPr>
        <w:t>FROM:</w:t>
      </w:r>
      <w:r>
        <w:rPr>
          <w:rFonts w:ascii="Verdana" w:hAnsi="Verdana"/>
          <w:szCs w:val="22"/>
        </w:rPr>
        <w:tab/>
        <w:t>Michael Cheek</w:t>
      </w:r>
    </w:p>
    <w:p w:rsidR="00F10A72" w:rsidRDefault="00F10A72" w:rsidP="00F10A72">
      <w:pPr>
        <w:rPr>
          <w:rFonts w:ascii="Verdana" w:hAnsi="Verdana"/>
          <w:szCs w:val="22"/>
        </w:rPr>
      </w:pPr>
      <w:r>
        <w:rPr>
          <w:rFonts w:ascii="Verdana" w:hAnsi="Verdana"/>
          <w:szCs w:val="22"/>
        </w:rPr>
        <w:tab/>
      </w:r>
      <w:r>
        <w:rPr>
          <w:rFonts w:ascii="Verdana" w:hAnsi="Verdana"/>
          <w:szCs w:val="22"/>
        </w:rPr>
        <w:tab/>
        <w:t>Division of Protection and Permanency</w:t>
      </w:r>
    </w:p>
    <w:p w:rsidR="00F10A72" w:rsidRDefault="00F10A72" w:rsidP="00F10A72">
      <w:pPr>
        <w:rPr>
          <w:rFonts w:ascii="Verdana" w:hAnsi="Verdana"/>
          <w:szCs w:val="22"/>
        </w:rPr>
      </w:pPr>
    </w:p>
    <w:p w:rsidR="00F10A72" w:rsidRPr="005769A6" w:rsidRDefault="00F10A72" w:rsidP="00F10A72">
      <w:pPr>
        <w:rPr>
          <w:rFonts w:ascii="Verdana" w:hAnsi="Verdana"/>
          <w:szCs w:val="22"/>
        </w:rPr>
      </w:pPr>
      <w:r>
        <w:rPr>
          <w:rFonts w:ascii="Verdana" w:hAnsi="Verdana"/>
          <w:b/>
          <w:szCs w:val="22"/>
        </w:rPr>
        <w:t>DATE:</w:t>
      </w:r>
      <w:r>
        <w:rPr>
          <w:rFonts w:ascii="Verdana" w:hAnsi="Verdana"/>
          <w:b/>
          <w:szCs w:val="22"/>
        </w:rPr>
        <w:tab/>
      </w:r>
      <w:r w:rsidR="009075CC">
        <w:rPr>
          <w:rFonts w:ascii="Verdana" w:hAnsi="Verdana"/>
          <w:szCs w:val="22"/>
        </w:rPr>
        <w:t>October 1, 2012</w:t>
      </w:r>
    </w:p>
    <w:p w:rsidR="00F10A72" w:rsidRDefault="00F10A72" w:rsidP="00F10A72">
      <w:pPr>
        <w:rPr>
          <w:rFonts w:ascii="Verdana" w:hAnsi="Verdana"/>
          <w:szCs w:val="22"/>
        </w:rPr>
      </w:pPr>
      <w:r>
        <w:rPr>
          <w:rFonts w:ascii="Verdana" w:hAnsi="Verdana"/>
          <w:szCs w:val="22"/>
        </w:rPr>
        <w:t xml:space="preserve"> </w:t>
      </w:r>
    </w:p>
    <w:p w:rsidR="00F10A72" w:rsidRDefault="00F10A72" w:rsidP="00F10A72">
      <w:pPr>
        <w:rPr>
          <w:rFonts w:ascii="Verdana" w:hAnsi="Verdana"/>
          <w:szCs w:val="22"/>
        </w:rPr>
      </w:pPr>
      <w:r>
        <w:rPr>
          <w:rFonts w:ascii="Verdana" w:hAnsi="Verdana"/>
          <w:b/>
          <w:szCs w:val="22"/>
        </w:rPr>
        <w:t xml:space="preserve">SUBJECT: </w:t>
      </w:r>
      <w:r>
        <w:rPr>
          <w:rFonts w:ascii="Verdana" w:hAnsi="Verdana"/>
          <w:b/>
          <w:szCs w:val="22"/>
        </w:rPr>
        <w:tab/>
      </w:r>
      <w:r>
        <w:rPr>
          <w:rFonts w:ascii="Verdana" w:hAnsi="Verdana"/>
          <w:szCs w:val="22"/>
        </w:rPr>
        <w:t xml:space="preserve">Consent for Invasive Procedures </w:t>
      </w:r>
    </w:p>
    <w:p w:rsidR="00F10A72" w:rsidRDefault="00F10A72" w:rsidP="00F10A72">
      <w:pPr>
        <w:rPr>
          <w:rFonts w:ascii="Verdana" w:hAnsi="Verdana"/>
          <w:szCs w:val="22"/>
        </w:rPr>
      </w:pPr>
    </w:p>
    <w:p w:rsidR="00F10A72" w:rsidRDefault="00F10A72" w:rsidP="00F10A72">
      <w:pPr>
        <w:rPr>
          <w:rFonts w:ascii="Verdana" w:hAnsi="Verdana"/>
          <w:szCs w:val="22"/>
        </w:rPr>
      </w:pPr>
      <w:r>
        <w:rPr>
          <w:rFonts w:ascii="Verdana" w:hAnsi="Verdana"/>
          <w:szCs w:val="22"/>
        </w:rPr>
        <w:t xml:space="preserve">Local health department nurses have been instructed to ensure that consents are received for children whenever an invasive procedure must be completed in the medical setting.  While this update focuses on health departments, this policy also applies to doctor’s offices and clinics.  If </w:t>
      </w:r>
      <w:proofErr w:type="gramStart"/>
      <w:r>
        <w:rPr>
          <w:rFonts w:ascii="Verdana" w:hAnsi="Verdana"/>
          <w:szCs w:val="22"/>
        </w:rPr>
        <w:t>a consent</w:t>
      </w:r>
      <w:proofErr w:type="gramEnd"/>
      <w:r>
        <w:rPr>
          <w:rFonts w:ascii="Verdana" w:hAnsi="Verdana"/>
          <w:szCs w:val="22"/>
        </w:rPr>
        <w:t xml:space="preserve"> has not been received the procedure will not be performed.  Revisions have been made to the following SOP sections to offer workers assistance about this process:  </w:t>
      </w:r>
    </w:p>
    <w:p w:rsidR="00F10A72" w:rsidRPr="00411E4F" w:rsidRDefault="006E5E44" w:rsidP="00F10A72">
      <w:pPr>
        <w:pStyle w:val="ListParagraph"/>
        <w:numPr>
          <w:ilvl w:val="0"/>
          <w:numId w:val="11"/>
        </w:numPr>
        <w:spacing w:after="0" w:line="240" w:lineRule="auto"/>
        <w:rPr>
          <w:rFonts w:ascii="Verdana" w:hAnsi="Verdana"/>
        </w:rPr>
      </w:pPr>
      <w:hyperlink r:id="rId8" w:history="1">
        <w:r w:rsidR="00F10A72" w:rsidRPr="00411E4F">
          <w:rPr>
            <w:rStyle w:val="Hyperlink"/>
            <w:rFonts w:ascii="Verdana" w:hAnsi="Verdana"/>
          </w:rPr>
          <w:t>4.26.2 Authorization for Medical Services</w:t>
        </w:r>
      </w:hyperlink>
      <w:r w:rsidR="00F10A72" w:rsidRPr="00411E4F">
        <w:rPr>
          <w:rFonts w:ascii="Verdana" w:hAnsi="Verdana"/>
        </w:rPr>
        <w:t xml:space="preserve">; </w:t>
      </w:r>
    </w:p>
    <w:p w:rsidR="00F10A72" w:rsidRPr="00411E4F" w:rsidRDefault="006E5E44" w:rsidP="00F10A72">
      <w:pPr>
        <w:pStyle w:val="ListParagraph"/>
        <w:numPr>
          <w:ilvl w:val="0"/>
          <w:numId w:val="11"/>
        </w:numPr>
        <w:spacing w:after="0" w:line="240" w:lineRule="auto"/>
        <w:rPr>
          <w:rFonts w:ascii="Verdana" w:hAnsi="Verdana"/>
        </w:rPr>
      </w:pPr>
      <w:hyperlink r:id="rId9" w:history="1">
        <w:r w:rsidR="00F10A72" w:rsidRPr="00411E4F">
          <w:rPr>
            <w:rStyle w:val="Hyperlink"/>
            <w:rFonts w:ascii="Verdana" w:hAnsi="Verdana"/>
          </w:rPr>
          <w:t>4.26.3 Immunizations Including Human Papillomavirus Vaccine</w:t>
        </w:r>
      </w:hyperlink>
      <w:r w:rsidR="00F10A72" w:rsidRPr="00411E4F">
        <w:rPr>
          <w:rFonts w:ascii="Verdana" w:hAnsi="Verdana"/>
        </w:rPr>
        <w:t>; and</w:t>
      </w:r>
    </w:p>
    <w:p w:rsidR="00F10A72" w:rsidRDefault="006E5E44" w:rsidP="00F10A72">
      <w:pPr>
        <w:pStyle w:val="ListParagraph"/>
        <w:numPr>
          <w:ilvl w:val="0"/>
          <w:numId w:val="11"/>
        </w:numPr>
        <w:spacing w:after="0" w:line="240" w:lineRule="auto"/>
        <w:rPr>
          <w:rFonts w:ascii="Verdana" w:hAnsi="Verdana"/>
        </w:rPr>
      </w:pPr>
      <w:hyperlink r:id="rId10" w:history="1">
        <w:r w:rsidR="00F10A72" w:rsidRPr="00411E4F">
          <w:rPr>
            <w:rStyle w:val="Hyperlink"/>
            <w:rFonts w:ascii="Verdana" w:hAnsi="Verdana"/>
          </w:rPr>
          <w:t>11.21 Medical Consent for Child in Emergency or Temporary Custody</w:t>
        </w:r>
      </w:hyperlink>
      <w:r w:rsidR="00F10A72">
        <w:rPr>
          <w:rFonts w:ascii="Verdana" w:hAnsi="Verdana"/>
        </w:rPr>
        <w:t xml:space="preserve"> (content merged with 4.26.2).</w:t>
      </w:r>
    </w:p>
    <w:p w:rsidR="00F10A72" w:rsidRDefault="00F10A72" w:rsidP="00F10A72">
      <w:pPr>
        <w:rPr>
          <w:rFonts w:ascii="Verdana" w:hAnsi="Verdana"/>
          <w:szCs w:val="22"/>
        </w:rPr>
      </w:pPr>
    </w:p>
    <w:p w:rsidR="00CC6A5A" w:rsidRPr="00CC6A5A" w:rsidRDefault="00F10A72" w:rsidP="00CC6A5A">
      <w:pPr>
        <w:rPr>
          <w:rFonts w:ascii="Verdana" w:hAnsi="Verdana"/>
          <w:b/>
        </w:rPr>
      </w:pPr>
      <w:r>
        <w:rPr>
          <w:rFonts w:ascii="Verdana" w:hAnsi="Verdana"/>
          <w:szCs w:val="22"/>
        </w:rPr>
        <w:t>Although new content has been added to the SOP manual, this is not a new process.  These steps should have always been completed to ensure the health and safety of foster children and resource parents</w:t>
      </w:r>
      <w:r w:rsidRPr="00CC6A5A">
        <w:rPr>
          <w:rFonts w:ascii="Verdana" w:hAnsi="Verdana"/>
          <w:szCs w:val="22"/>
        </w:rPr>
        <w:t>.</w:t>
      </w:r>
      <w:r w:rsidR="00CC6A5A" w:rsidRPr="00CC6A5A">
        <w:rPr>
          <w:rFonts w:ascii="Verdana" w:hAnsi="Verdana"/>
          <w:szCs w:val="22"/>
        </w:rPr>
        <w:t xml:space="preserve">  </w:t>
      </w:r>
      <w:r w:rsidR="00CC6A5A" w:rsidRPr="00CC6A5A">
        <w:rPr>
          <w:rFonts w:ascii="Verdana" w:hAnsi="Verdana"/>
          <w:b/>
        </w:rPr>
        <w:t>Blanket consent for medical treatment signed by DCBS staff is not an approved method of consent for medical services and should not be provided to resource parents.</w:t>
      </w:r>
    </w:p>
    <w:p w:rsidR="00F10A72" w:rsidRPr="00711A60" w:rsidRDefault="00F10A72" w:rsidP="00F10A72">
      <w:pPr>
        <w:rPr>
          <w:rFonts w:ascii="Verdana" w:hAnsi="Verdana"/>
          <w:szCs w:val="22"/>
        </w:rPr>
      </w:pPr>
      <w:r>
        <w:rPr>
          <w:rFonts w:ascii="Verdana" w:hAnsi="Verdana"/>
          <w:szCs w:val="22"/>
        </w:rPr>
        <w:t xml:space="preserve">  </w:t>
      </w:r>
    </w:p>
    <w:p w:rsidR="00F10A72" w:rsidRDefault="00F10A72" w:rsidP="00F10A72">
      <w:pPr>
        <w:rPr>
          <w:rFonts w:ascii="Verdana" w:hAnsi="Verdana"/>
          <w:color w:val="000000" w:themeColor="text1"/>
          <w:szCs w:val="22"/>
        </w:rPr>
      </w:pPr>
      <w:r>
        <w:rPr>
          <w:rFonts w:ascii="Verdana" w:hAnsi="Verdana"/>
          <w:color w:val="000000" w:themeColor="text1"/>
          <w:szCs w:val="22"/>
        </w:rPr>
        <w:t xml:space="preserve">The </w:t>
      </w:r>
      <w:r w:rsidRPr="00711A60">
        <w:rPr>
          <w:rFonts w:ascii="Verdana" w:hAnsi="Verdana"/>
          <w:color w:val="000000" w:themeColor="text1"/>
          <w:szCs w:val="22"/>
        </w:rPr>
        <w:t>D</w:t>
      </w:r>
      <w:r>
        <w:rPr>
          <w:rFonts w:ascii="Verdana" w:hAnsi="Verdana"/>
          <w:color w:val="000000" w:themeColor="text1"/>
          <w:szCs w:val="22"/>
        </w:rPr>
        <w:t xml:space="preserve">epartment for </w:t>
      </w:r>
      <w:r w:rsidRPr="00711A60">
        <w:rPr>
          <w:rFonts w:ascii="Verdana" w:hAnsi="Verdana"/>
          <w:color w:val="000000" w:themeColor="text1"/>
          <w:szCs w:val="22"/>
        </w:rPr>
        <w:t>P</w:t>
      </w:r>
      <w:r>
        <w:rPr>
          <w:rFonts w:ascii="Verdana" w:hAnsi="Verdana"/>
          <w:color w:val="000000" w:themeColor="text1"/>
          <w:szCs w:val="22"/>
        </w:rPr>
        <w:t xml:space="preserve">ublic </w:t>
      </w:r>
      <w:r w:rsidRPr="00711A60">
        <w:rPr>
          <w:rFonts w:ascii="Verdana" w:hAnsi="Verdana"/>
          <w:color w:val="000000" w:themeColor="text1"/>
          <w:szCs w:val="22"/>
        </w:rPr>
        <w:t>H</w:t>
      </w:r>
      <w:r>
        <w:rPr>
          <w:rFonts w:ascii="Verdana" w:hAnsi="Verdana"/>
          <w:color w:val="000000" w:themeColor="text1"/>
          <w:szCs w:val="22"/>
        </w:rPr>
        <w:t>ealth (DPH)</w:t>
      </w:r>
      <w:r w:rsidRPr="00711A60">
        <w:rPr>
          <w:rFonts w:ascii="Verdana" w:hAnsi="Verdana"/>
          <w:color w:val="000000" w:themeColor="text1"/>
          <w:szCs w:val="22"/>
        </w:rPr>
        <w:t xml:space="preserve"> will be issuing </w:t>
      </w:r>
      <w:r>
        <w:rPr>
          <w:rFonts w:ascii="Verdana" w:hAnsi="Verdana"/>
          <w:color w:val="000000" w:themeColor="text1"/>
          <w:szCs w:val="22"/>
        </w:rPr>
        <w:t xml:space="preserve">a similar release stating </w:t>
      </w:r>
      <w:r w:rsidRPr="00711A60">
        <w:rPr>
          <w:rFonts w:ascii="Verdana" w:hAnsi="Verdana"/>
          <w:color w:val="000000" w:themeColor="text1"/>
          <w:szCs w:val="22"/>
        </w:rPr>
        <w:t>their policy</w:t>
      </w:r>
      <w:r>
        <w:rPr>
          <w:rFonts w:ascii="Verdana" w:hAnsi="Verdana"/>
          <w:color w:val="000000" w:themeColor="text1"/>
          <w:szCs w:val="22"/>
        </w:rPr>
        <w:t>,</w:t>
      </w:r>
      <w:r w:rsidRPr="00711A60">
        <w:rPr>
          <w:rFonts w:ascii="Verdana" w:hAnsi="Verdana"/>
          <w:color w:val="000000" w:themeColor="text1"/>
          <w:szCs w:val="22"/>
        </w:rPr>
        <w:t xml:space="preserve"> simultaneously to this release.</w:t>
      </w:r>
      <w:r>
        <w:rPr>
          <w:rFonts w:ascii="Verdana" w:hAnsi="Verdana"/>
          <w:color w:val="000000" w:themeColor="text1"/>
          <w:szCs w:val="22"/>
        </w:rPr>
        <w:t xml:space="preserve"> </w:t>
      </w:r>
    </w:p>
    <w:p w:rsidR="00F10A72" w:rsidRDefault="00F10A72" w:rsidP="00F10A72">
      <w:pPr>
        <w:rPr>
          <w:rFonts w:ascii="Verdana" w:hAnsi="Verdana"/>
          <w:color w:val="000000" w:themeColor="text1"/>
          <w:szCs w:val="22"/>
        </w:rPr>
      </w:pPr>
    </w:p>
    <w:p w:rsidR="00F10A72" w:rsidRPr="00711A60" w:rsidRDefault="00F10A72" w:rsidP="00F10A72">
      <w:pPr>
        <w:rPr>
          <w:rFonts w:ascii="Verdana" w:hAnsi="Verdana"/>
          <w:color w:val="000000" w:themeColor="text1"/>
          <w:szCs w:val="22"/>
        </w:rPr>
      </w:pPr>
      <w:r>
        <w:rPr>
          <w:rFonts w:ascii="Verdana" w:hAnsi="Verdana"/>
          <w:color w:val="000000" w:themeColor="text1"/>
          <w:szCs w:val="22"/>
        </w:rPr>
        <w:t xml:space="preserve">If you have any questions regarding this transmittal, please contact </w:t>
      </w:r>
      <w:hyperlink r:id="rId11" w:history="1">
        <w:r w:rsidRPr="00F141DC">
          <w:rPr>
            <w:rStyle w:val="Hyperlink"/>
            <w:rFonts w:ascii="Verdana" w:hAnsi="Verdana"/>
            <w:szCs w:val="22"/>
          </w:rPr>
          <w:t>Debbie.Acker@ky.gov</w:t>
        </w:r>
      </w:hyperlink>
      <w:r>
        <w:rPr>
          <w:rFonts w:ascii="Verdana" w:hAnsi="Verdana"/>
          <w:color w:val="000000" w:themeColor="text1"/>
          <w:szCs w:val="22"/>
        </w:rPr>
        <w:t>, or by telephone at (502) 564-6852 ext. 3550.</w:t>
      </w:r>
      <w:r w:rsidRPr="00711A60">
        <w:rPr>
          <w:rFonts w:ascii="Verdana" w:hAnsi="Verdana"/>
          <w:color w:val="000000" w:themeColor="text1"/>
          <w:szCs w:val="22"/>
        </w:rPr>
        <w:t xml:space="preserve"> </w:t>
      </w:r>
    </w:p>
    <w:p w:rsidR="00227F3F" w:rsidRDefault="00227F3F" w:rsidP="00227F3F">
      <w:pPr>
        <w:rPr>
          <w:szCs w:val="22"/>
        </w:rPr>
      </w:pPr>
    </w:p>
    <w:p w:rsidR="001D6A40" w:rsidRDefault="001D6A40" w:rsidP="001D6A40"/>
    <w:sectPr w:rsidR="001D6A40" w:rsidSect="00D544E0">
      <w:headerReference w:type="even" r:id="rId12"/>
      <w:headerReference w:type="default" r:id="rId13"/>
      <w:footerReference w:type="even" r:id="rId14"/>
      <w:footerReference w:type="default" r:id="rId15"/>
      <w:headerReference w:type="first" r:id="rId16"/>
      <w:footerReference w:type="first" r:id="rId17"/>
      <w:pgSz w:w="12240" w:h="15840" w:code="1"/>
      <w:pgMar w:top="28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44" w:rsidRDefault="006E5E44">
      <w:r>
        <w:separator/>
      </w:r>
    </w:p>
  </w:endnote>
  <w:endnote w:type="continuationSeparator" w:id="0">
    <w:p w:rsidR="006E5E44" w:rsidRDefault="006E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2" w:rsidRDefault="00F1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2" w:rsidRDefault="00F10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B" w:rsidRDefault="00F10A72"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08B" w:rsidRDefault="00FA4B21"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52108B" w:rsidRPr="00524DAE" w:rsidRDefault="0052108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44" w:rsidRDefault="006E5E44">
      <w:r>
        <w:separator/>
      </w:r>
    </w:p>
  </w:footnote>
  <w:footnote w:type="continuationSeparator" w:id="0">
    <w:p w:rsidR="006E5E44" w:rsidRDefault="006E5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2" w:rsidRDefault="00F10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8D" w:rsidRDefault="00D5798D">
    <w:pPr>
      <w:pStyle w:val="Header"/>
    </w:pPr>
    <w:r>
      <w:t>March 19, 2012</w:t>
    </w:r>
  </w:p>
  <w:p w:rsidR="00D5798D" w:rsidRDefault="001D6A40">
    <w:pPr>
      <w:pStyle w:val="Header"/>
    </w:pPr>
    <w:r>
      <w:t>KY Spirit Health Plan, Inc.</w:t>
    </w:r>
  </w:p>
  <w:p w:rsidR="00D5798D" w:rsidRDefault="00D5798D">
    <w:pPr>
      <w:pStyle w:val="Header"/>
    </w:pPr>
    <w:r>
      <w:t>Page 2</w:t>
    </w:r>
  </w:p>
  <w:p w:rsidR="00D5798D" w:rsidRDefault="00D57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2" w:rsidRDefault="00F10A72"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52" w:rsidRDefault="00FA4B21"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797852" w:rsidRDefault="00797852" w:rsidP="00797852">
    <w:pPr>
      <w:tabs>
        <w:tab w:val="center" w:pos="5264"/>
      </w:tabs>
      <w:spacing w:line="220" w:lineRule="atLeast"/>
      <w:rPr>
        <w:sz w:val="20"/>
      </w:rPr>
    </w:pPr>
  </w:p>
  <w:p w:rsidR="00797852" w:rsidRDefault="00797852" w:rsidP="00797852">
    <w:pPr>
      <w:spacing w:line="220" w:lineRule="atLeast"/>
      <w:rPr>
        <w:sz w:val="20"/>
      </w:rPr>
    </w:pPr>
  </w:p>
  <w:p w:rsidR="00797852" w:rsidRDefault="00797852" w:rsidP="00797852">
    <w:pPr>
      <w:spacing w:line="260" w:lineRule="atLeast"/>
      <w:rPr>
        <w:rFonts w:ascii="TradeGothic LH BoldExtended" w:hAnsi="TradeGothic LH BoldExtended"/>
        <w:sz w:val="20"/>
      </w:rPr>
    </w:pPr>
  </w:p>
  <w:p w:rsidR="00797852" w:rsidRDefault="00797852" w:rsidP="00797852">
    <w:pPr>
      <w:spacing w:line="260" w:lineRule="atLeast"/>
      <w:rPr>
        <w:sz w:val="20"/>
      </w:rPr>
    </w:pPr>
  </w:p>
  <w:p w:rsidR="00797852" w:rsidRDefault="00797852" w:rsidP="00797852">
    <w:pPr>
      <w:spacing w:line="260" w:lineRule="atLeast"/>
      <w:rPr>
        <w:sz w:val="20"/>
      </w:rPr>
    </w:pPr>
  </w:p>
  <w:p w:rsidR="00797852" w:rsidRDefault="00797852" w:rsidP="00797852">
    <w:pPr>
      <w:spacing w:line="140" w:lineRule="atLeast"/>
      <w:rPr>
        <w:sz w:val="20"/>
      </w:rPr>
    </w:pPr>
  </w:p>
  <w:p w:rsidR="00797852" w:rsidRDefault="00797852" w:rsidP="00797852">
    <w:pPr>
      <w:pStyle w:val="CabDeptAgencytitle"/>
      <w:rPr>
        <w:b/>
        <w:bCs w:val="0"/>
        <w:w w:val="120"/>
      </w:rPr>
    </w:pPr>
    <w:r>
      <w:rPr>
        <w:b/>
        <w:bCs w:val="0"/>
        <w:w w:val="120"/>
      </w:rPr>
      <w:t>CABINET FOR HEALTH AND FAMILY SERVICES</w:t>
    </w:r>
  </w:p>
  <w:p w:rsidR="00797852" w:rsidRDefault="00A73643" w:rsidP="00797852">
    <w:pPr>
      <w:pStyle w:val="CabDeptAgencytitle"/>
      <w:rPr>
        <w:b/>
        <w:w w:val="120"/>
      </w:rPr>
    </w:pPr>
    <w:r>
      <w:rPr>
        <w:b/>
        <w:w w:val="120"/>
      </w:rPr>
      <w:t>OFFICE OF THE SECRETARY</w:t>
    </w:r>
  </w:p>
  <w:p w:rsidR="00797852" w:rsidRDefault="00F10A72"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rsidR="00797852" w:rsidRDefault="00797852" w:rsidP="0069732D">
    <w:pPr>
      <w:pStyle w:val="GovSecretaryDeputySecname"/>
      <w:tabs>
        <w:tab w:val="clear" w:pos="10944"/>
        <w:tab w:val="center" w:pos="9360"/>
      </w:tabs>
      <w:ind w:right="-267"/>
    </w:pPr>
    <w:r>
      <w:t xml:space="preserve">Steven L. </w:t>
    </w:r>
    <w:proofErr w:type="spellStart"/>
    <w:r>
      <w:t>Beshear</w:t>
    </w:r>
    <w:proofErr w:type="spellEnd"/>
    <w:r>
      <w:tab/>
    </w:r>
    <w:r w:rsidR="00DE77E4">
      <w:t xml:space="preserve">              </w:t>
    </w:r>
    <w:r w:rsidR="0069732D">
      <w:t xml:space="preserve">       Audrey </w:t>
    </w:r>
    <w:proofErr w:type="spellStart"/>
    <w:r w:rsidR="0069732D">
      <w:t>Tayse</w:t>
    </w:r>
    <w:proofErr w:type="spellEnd"/>
    <w:r w:rsidR="0069732D">
      <w:t xml:space="preserve"> Haynes</w:t>
    </w:r>
  </w:p>
  <w:p w:rsidR="00797852" w:rsidRDefault="00797852" w:rsidP="0069732D">
    <w:pPr>
      <w:pStyle w:val="GovSecretaryDeputySectilte"/>
      <w:tabs>
        <w:tab w:val="clear" w:pos="10944"/>
        <w:tab w:val="center" w:pos="8730"/>
      </w:tabs>
      <w:ind w:right="-267"/>
    </w:pPr>
    <w:r>
      <w:t>Governor</w:t>
    </w:r>
    <w:r>
      <w:tab/>
    </w:r>
    <w:r w:rsidR="00DE77E4">
      <w:t xml:space="preserve">            </w:t>
    </w:r>
    <w:r w:rsidR="0069732D">
      <w:t xml:space="preserve">     </w:t>
    </w:r>
    <w:r w:rsidR="00DE77E4">
      <w:t xml:space="preserve">  </w:t>
    </w:r>
    <w:r w:rsidR="0069732D">
      <w:t xml:space="preserve"> </w:t>
    </w:r>
    <w:r>
      <w:t>Secretary</w:t>
    </w:r>
  </w:p>
  <w:p w:rsidR="00797852" w:rsidRDefault="00797852" w:rsidP="00797852">
    <w:pPr>
      <w:pStyle w:val="GovSecretaryDeputySecname"/>
    </w:pPr>
  </w:p>
  <w:p w:rsidR="00797852" w:rsidRDefault="00797852" w:rsidP="00797852">
    <w:pPr>
      <w:pStyle w:val="GovSecretaryDeputySectilte"/>
    </w:pPr>
    <w:r>
      <w:tab/>
    </w:r>
  </w:p>
  <w:p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0"/>
  </w:num>
  <w:num w:numId="6">
    <w:abstractNumId w:val="4"/>
  </w:num>
  <w:num w:numId="7">
    <w:abstractNumId w:val="2"/>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72FBF"/>
    <w:rsid w:val="000A6BF6"/>
    <w:rsid w:val="000C65CA"/>
    <w:rsid w:val="000E3849"/>
    <w:rsid w:val="000E6D79"/>
    <w:rsid w:val="0017490F"/>
    <w:rsid w:val="00191703"/>
    <w:rsid w:val="001934E5"/>
    <w:rsid w:val="001D6A40"/>
    <w:rsid w:val="001F3FE8"/>
    <w:rsid w:val="00202F1C"/>
    <w:rsid w:val="00220749"/>
    <w:rsid w:val="002257A4"/>
    <w:rsid w:val="00225B33"/>
    <w:rsid w:val="00227F3F"/>
    <w:rsid w:val="00237F32"/>
    <w:rsid w:val="0024483B"/>
    <w:rsid w:val="00280D3D"/>
    <w:rsid w:val="002C690C"/>
    <w:rsid w:val="002D29D3"/>
    <w:rsid w:val="002D5CBA"/>
    <w:rsid w:val="002E26B7"/>
    <w:rsid w:val="002E617B"/>
    <w:rsid w:val="003134FB"/>
    <w:rsid w:val="00314852"/>
    <w:rsid w:val="00322E22"/>
    <w:rsid w:val="003758DD"/>
    <w:rsid w:val="00387552"/>
    <w:rsid w:val="003C0AEC"/>
    <w:rsid w:val="003C10B5"/>
    <w:rsid w:val="003C5712"/>
    <w:rsid w:val="003D1987"/>
    <w:rsid w:val="003D5657"/>
    <w:rsid w:val="003F166A"/>
    <w:rsid w:val="00411E4F"/>
    <w:rsid w:val="00427A0E"/>
    <w:rsid w:val="00436673"/>
    <w:rsid w:val="004A082C"/>
    <w:rsid w:val="004A3652"/>
    <w:rsid w:val="005135DD"/>
    <w:rsid w:val="0052108B"/>
    <w:rsid w:val="00524DAE"/>
    <w:rsid w:val="00532EBB"/>
    <w:rsid w:val="00541EA0"/>
    <w:rsid w:val="005524AC"/>
    <w:rsid w:val="00560F32"/>
    <w:rsid w:val="00585967"/>
    <w:rsid w:val="005922E1"/>
    <w:rsid w:val="005A073E"/>
    <w:rsid w:val="005B2FBA"/>
    <w:rsid w:val="005F1332"/>
    <w:rsid w:val="00601ECA"/>
    <w:rsid w:val="00626F38"/>
    <w:rsid w:val="00633FA6"/>
    <w:rsid w:val="0063467E"/>
    <w:rsid w:val="0066589B"/>
    <w:rsid w:val="0069732D"/>
    <w:rsid w:val="006A7CD8"/>
    <w:rsid w:val="006B2951"/>
    <w:rsid w:val="006B3577"/>
    <w:rsid w:val="006C43DA"/>
    <w:rsid w:val="006C76F7"/>
    <w:rsid w:val="006E13C9"/>
    <w:rsid w:val="006E5E44"/>
    <w:rsid w:val="007171EB"/>
    <w:rsid w:val="00792735"/>
    <w:rsid w:val="00797852"/>
    <w:rsid w:val="007A0FC9"/>
    <w:rsid w:val="007B16CD"/>
    <w:rsid w:val="007D217B"/>
    <w:rsid w:val="007F5F6E"/>
    <w:rsid w:val="0081658E"/>
    <w:rsid w:val="00841387"/>
    <w:rsid w:val="00867DE4"/>
    <w:rsid w:val="008A33B7"/>
    <w:rsid w:val="008A414C"/>
    <w:rsid w:val="008B7EFF"/>
    <w:rsid w:val="008C09F2"/>
    <w:rsid w:val="008D02D6"/>
    <w:rsid w:val="008D6F4E"/>
    <w:rsid w:val="008F55E0"/>
    <w:rsid w:val="009075CC"/>
    <w:rsid w:val="00923E87"/>
    <w:rsid w:val="00924D99"/>
    <w:rsid w:val="009651EB"/>
    <w:rsid w:val="00992582"/>
    <w:rsid w:val="009B40EE"/>
    <w:rsid w:val="009D3789"/>
    <w:rsid w:val="009E026F"/>
    <w:rsid w:val="009E638F"/>
    <w:rsid w:val="00A07E8E"/>
    <w:rsid w:val="00A15CB9"/>
    <w:rsid w:val="00A269C2"/>
    <w:rsid w:val="00A4613D"/>
    <w:rsid w:val="00A73643"/>
    <w:rsid w:val="00AC036F"/>
    <w:rsid w:val="00AE21C3"/>
    <w:rsid w:val="00B33CC2"/>
    <w:rsid w:val="00B364EA"/>
    <w:rsid w:val="00B428A3"/>
    <w:rsid w:val="00B434D8"/>
    <w:rsid w:val="00B56785"/>
    <w:rsid w:val="00B82F96"/>
    <w:rsid w:val="00B85E7C"/>
    <w:rsid w:val="00BA176E"/>
    <w:rsid w:val="00BC21CE"/>
    <w:rsid w:val="00BC3AD0"/>
    <w:rsid w:val="00BC67F5"/>
    <w:rsid w:val="00BF1D9F"/>
    <w:rsid w:val="00BF3A23"/>
    <w:rsid w:val="00C10849"/>
    <w:rsid w:val="00C1319F"/>
    <w:rsid w:val="00C519D6"/>
    <w:rsid w:val="00C61146"/>
    <w:rsid w:val="00C64E29"/>
    <w:rsid w:val="00C66601"/>
    <w:rsid w:val="00C81A66"/>
    <w:rsid w:val="00C84488"/>
    <w:rsid w:val="00C847BD"/>
    <w:rsid w:val="00CC1C59"/>
    <w:rsid w:val="00CC6A5A"/>
    <w:rsid w:val="00D03318"/>
    <w:rsid w:val="00D03565"/>
    <w:rsid w:val="00D070A4"/>
    <w:rsid w:val="00D351DF"/>
    <w:rsid w:val="00D3596D"/>
    <w:rsid w:val="00D544E0"/>
    <w:rsid w:val="00D55AC9"/>
    <w:rsid w:val="00D5798D"/>
    <w:rsid w:val="00D62EDF"/>
    <w:rsid w:val="00D73EAC"/>
    <w:rsid w:val="00D9414D"/>
    <w:rsid w:val="00D95B48"/>
    <w:rsid w:val="00D97958"/>
    <w:rsid w:val="00DB0D30"/>
    <w:rsid w:val="00DB2256"/>
    <w:rsid w:val="00DD0743"/>
    <w:rsid w:val="00DE77E4"/>
    <w:rsid w:val="00DF3E1E"/>
    <w:rsid w:val="00DF68FF"/>
    <w:rsid w:val="00E20432"/>
    <w:rsid w:val="00E367CE"/>
    <w:rsid w:val="00E407CB"/>
    <w:rsid w:val="00E50F01"/>
    <w:rsid w:val="00E5548F"/>
    <w:rsid w:val="00E67BEF"/>
    <w:rsid w:val="00E77117"/>
    <w:rsid w:val="00E929A5"/>
    <w:rsid w:val="00E93EA8"/>
    <w:rsid w:val="00EB0FEF"/>
    <w:rsid w:val="00EE34D6"/>
    <w:rsid w:val="00F0079B"/>
    <w:rsid w:val="00F035C1"/>
    <w:rsid w:val="00F10A72"/>
    <w:rsid w:val="00F24449"/>
    <w:rsid w:val="00F27813"/>
    <w:rsid w:val="00F30990"/>
    <w:rsid w:val="00F30C9C"/>
    <w:rsid w:val="00F36945"/>
    <w:rsid w:val="00F70416"/>
    <w:rsid w:val="00FA4B21"/>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chapter4/12/Pages/4262AuthorizationforMedicalServices.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bbie.Acker@ky.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nuals.sp.chfs.ky.gov/chapter11/36/Pages/1121MedicalConsentforChildinEmergencyorTemporaryCustod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nuals.sp.chfs.ky.gov/chapter4/12/Pages/4263ImmunizationsIncludingHumanPapillomavirusVaccine.aspx"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2012</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66D24-C678-4B60-96D1-B2D0C79ECABB}"/>
</file>

<file path=customXml/itemProps2.xml><?xml version="1.0" encoding="utf-8"?>
<ds:datastoreItem xmlns:ds="http://schemas.openxmlformats.org/officeDocument/2006/customXml" ds:itemID="{9D567696-1639-458D-820D-60C92A1E8859}"/>
</file>

<file path=customXml/itemProps3.xml><?xml version="1.0" encoding="utf-8"?>
<ds:datastoreItem xmlns:ds="http://schemas.openxmlformats.org/officeDocument/2006/customXml" ds:itemID="{C624CF9A-0BB3-4EB0-B3ED-5CA7EDC06453}"/>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12-09 Consent for Invasive Procedures</dc:title>
  <dc:creator>Beth.Holbrook</dc:creator>
  <cp:lastModifiedBy>sarah.cooper</cp:lastModifiedBy>
  <cp:revision>6</cp:revision>
  <cp:lastPrinted>2012-10-01T16:52:00Z</cp:lastPrinted>
  <dcterms:created xsi:type="dcterms:W3CDTF">2012-09-13T14:31:00Z</dcterms:created>
  <dcterms:modified xsi:type="dcterms:W3CDTF">2012-10-01T16:56:00Z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2012</vt:lpwstr>
  </property>
</Properties>
</file>